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13C0" w14:textId="330BDBC4" w:rsidR="00995B4D" w:rsidRDefault="00850D03">
      <w:r>
        <w:rPr>
          <w:noProof/>
        </w:rPr>
        <w:drawing>
          <wp:anchor distT="0" distB="0" distL="114300" distR="114300" simplePos="0" relativeHeight="251658240" behindDoc="1" locked="0" layoutInCell="1" allowOverlap="1" wp14:anchorId="31B9F4D5" wp14:editId="62733203">
            <wp:simplePos x="0" y="0"/>
            <wp:positionH relativeFrom="column">
              <wp:posOffset>-632460</wp:posOffset>
            </wp:positionH>
            <wp:positionV relativeFrom="paragraph">
              <wp:posOffset>-731520</wp:posOffset>
            </wp:positionV>
            <wp:extent cx="3916680" cy="1631950"/>
            <wp:effectExtent l="0" t="0" r="7620" b="635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3CAF" w14:textId="2FF9D97F" w:rsidR="00850D03" w:rsidRDefault="00850D03"/>
    <w:p w14:paraId="0BE97428" w14:textId="77777777" w:rsidR="00850D03" w:rsidRDefault="00850D03" w:rsidP="00850D03">
      <w:pPr>
        <w:pStyle w:val="Heading1"/>
      </w:pPr>
    </w:p>
    <w:p w14:paraId="5C224EA1" w14:textId="1EF3B4AC" w:rsidR="001110B4" w:rsidRDefault="001110B4" w:rsidP="001110B4">
      <w:pPr>
        <w:pStyle w:val="Heading2"/>
      </w:pPr>
      <w:proofErr w:type="spellStart"/>
      <w:r>
        <w:t>Déclaration</w:t>
      </w:r>
      <w:proofErr w:type="spellEnd"/>
      <w:r>
        <w:t xml:space="preserve"> de </w:t>
      </w:r>
      <w:proofErr w:type="spellStart"/>
      <w:r>
        <w:t>conformité</w:t>
      </w:r>
      <w:proofErr w:type="spellEnd"/>
      <w:r>
        <w:t xml:space="preserve"> du </w:t>
      </w:r>
      <w:proofErr w:type="spellStart"/>
      <w:r>
        <w:t>ou</w:t>
      </w:r>
      <w:proofErr w:type="spellEnd"/>
      <w:r>
        <w:t xml:space="preserve"> de la PDG quant à la </w:t>
      </w:r>
      <w:proofErr w:type="spellStart"/>
      <w:r>
        <w:t>norme</w:t>
      </w:r>
      <w:proofErr w:type="spellEnd"/>
      <w:r>
        <w:t xml:space="preserve"> ISO 20252:2019 </w:t>
      </w:r>
    </w:p>
    <w:p w14:paraId="0666F7D0" w14:textId="77777777" w:rsidR="001110B4" w:rsidRPr="001110B4" w:rsidRDefault="001110B4" w:rsidP="001110B4">
      <w:pPr>
        <w:spacing w:after="0"/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6237"/>
        <w:gridCol w:w="993"/>
        <w:gridCol w:w="2409"/>
      </w:tblGrid>
      <w:tr w:rsidR="001110B4" w14:paraId="60D72D55" w14:textId="77777777" w:rsidTr="001110B4">
        <w:tc>
          <w:tcPr>
            <w:tcW w:w="6237" w:type="dxa"/>
            <w:tcBorders>
              <w:top w:val="nil"/>
              <w:left w:val="nil"/>
            </w:tcBorders>
          </w:tcPr>
          <w:p w14:paraId="2B2F6DED" w14:textId="77777777" w:rsidR="001110B4" w:rsidRPr="001110B4" w:rsidRDefault="001110B4" w:rsidP="00953BDB">
            <w:pPr>
              <w:pStyle w:val="Pa16"/>
              <w:spacing w:after="60" w:line="264" w:lineRule="auto"/>
              <w:rPr>
                <w:rFonts w:cs="Cambr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98E51A" w14:textId="77777777" w:rsidR="001110B4" w:rsidRPr="001110B4" w:rsidRDefault="001110B4" w:rsidP="00953BDB">
            <w:pPr>
              <w:pStyle w:val="Pa16"/>
              <w:spacing w:after="60"/>
              <w:rPr>
                <w:rFonts w:cs="Cambria"/>
                <w:color w:val="000000"/>
                <w:sz w:val="20"/>
                <w:szCs w:val="20"/>
              </w:rPr>
            </w:pPr>
            <w:r w:rsidRPr="001110B4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offert</w:t>
            </w:r>
            <w:proofErr w:type="spellEnd"/>
          </w:p>
        </w:tc>
        <w:tc>
          <w:tcPr>
            <w:tcW w:w="2409" w:type="dxa"/>
          </w:tcPr>
          <w:p w14:paraId="659A05A3" w14:textId="77777777" w:rsidR="001110B4" w:rsidRPr="001110B4" w:rsidRDefault="001110B4" w:rsidP="00953BDB">
            <w:pPr>
              <w:pStyle w:val="Pa16"/>
              <w:spacing w:after="60"/>
              <w:rPr>
                <w:rFonts w:cs="Cambria"/>
                <w:color w:val="000000"/>
                <w:sz w:val="20"/>
                <w:szCs w:val="20"/>
              </w:rPr>
            </w:pPr>
            <w:proofErr w:type="spellStart"/>
            <w:r w:rsidRPr="001110B4">
              <w:rPr>
                <w:color w:val="000000"/>
                <w:sz w:val="20"/>
                <w:szCs w:val="20"/>
              </w:rPr>
              <w:t>Offert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directement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ou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par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l’intermédiaire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sous-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traitants</w:t>
            </w:r>
            <w:proofErr w:type="spellEnd"/>
          </w:p>
        </w:tc>
      </w:tr>
      <w:tr w:rsidR="001110B4" w14:paraId="6DCB80EB" w14:textId="77777777" w:rsidTr="001110B4">
        <w:trPr>
          <w:trHeight w:val="393"/>
        </w:trPr>
        <w:tc>
          <w:tcPr>
            <w:tcW w:w="6237" w:type="dxa"/>
          </w:tcPr>
          <w:p w14:paraId="39F2FE08" w14:textId="77777777" w:rsidR="001110B4" w:rsidRPr="001110B4" w:rsidRDefault="001110B4" w:rsidP="00953BDB">
            <w:pPr>
              <w:pStyle w:val="Pa16"/>
              <w:spacing w:after="60" w:line="264" w:lineRule="auto"/>
              <w:rPr>
                <w:rFonts w:cs="Cambria"/>
                <w:color w:val="000000"/>
                <w:sz w:val="20"/>
                <w:szCs w:val="20"/>
              </w:rPr>
            </w:pPr>
            <w:r w:rsidRPr="001110B4">
              <w:rPr>
                <w:b/>
                <w:bCs/>
                <w:color w:val="000000"/>
                <w:sz w:val="20"/>
                <w:szCs w:val="20"/>
              </w:rPr>
              <w:t xml:space="preserve">Annexe A – </w:t>
            </w:r>
            <w:proofErr w:type="spellStart"/>
            <w:r w:rsidRPr="001110B4">
              <w:rPr>
                <w:b/>
                <w:bCs/>
                <w:color w:val="000000"/>
                <w:sz w:val="20"/>
                <w:szCs w:val="20"/>
              </w:rPr>
              <w:t>Échantillonnage</w:t>
            </w:r>
            <w:proofErr w:type="spellEnd"/>
            <w:r w:rsidRPr="001110B4">
              <w:rPr>
                <w:b/>
                <w:bCs/>
                <w:color w:val="000000"/>
                <w:sz w:val="20"/>
                <w:szCs w:val="20"/>
              </w:rPr>
              <w:t xml:space="preserve">, y </w:t>
            </w:r>
            <w:proofErr w:type="spellStart"/>
            <w:r w:rsidRPr="001110B4">
              <w:rPr>
                <w:b/>
                <w:bCs/>
                <w:color w:val="000000"/>
                <w:sz w:val="20"/>
                <w:szCs w:val="20"/>
              </w:rPr>
              <w:t>compris</w:t>
            </w:r>
            <w:proofErr w:type="spellEnd"/>
            <w:r w:rsidRPr="001110B4">
              <w:rPr>
                <w:b/>
                <w:bCs/>
                <w:color w:val="000000"/>
                <w:sz w:val="20"/>
                <w:szCs w:val="20"/>
              </w:rPr>
              <w:t xml:space="preserve"> « access panels »</w:t>
            </w:r>
            <w:r w:rsidRPr="001110B4">
              <w:rPr>
                <w:color w:val="000000"/>
                <w:sz w:val="20"/>
                <w:szCs w:val="20"/>
              </w:rPr>
              <w:t xml:space="preserve"> services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d’échantillonnage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comme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la conception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ou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fourniture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d’échantillons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probabilistes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ou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probabilistes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3A083ED1" w14:textId="77777777" w:rsidR="001110B4" w:rsidRPr="001110B4" w:rsidRDefault="001110B4" w:rsidP="00953BDB">
            <w:pPr>
              <w:pStyle w:val="Pa16"/>
              <w:spacing w:after="60" w:line="240" w:lineRule="auto"/>
              <w:rPr>
                <w:rFonts w:cs="Cambri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5E9D75" w14:textId="77777777" w:rsidR="001110B4" w:rsidRPr="001110B4" w:rsidRDefault="001110B4" w:rsidP="00953BDB">
            <w:pPr>
              <w:pStyle w:val="Pa16"/>
              <w:spacing w:after="60" w:line="240" w:lineRule="auto"/>
              <w:rPr>
                <w:rFonts w:cs="Cambria"/>
                <w:color w:val="000000"/>
                <w:sz w:val="20"/>
                <w:szCs w:val="20"/>
              </w:rPr>
            </w:pPr>
          </w:p>
        </w:tc>
      </w:tr>
      <w:tr w:rsidR="001110B4" w14:paraId="44167798" w14:textId="77777777" w:rsidTr="001110B4">
        <w:trPr>
          <w:trHeight w:val="393"/>
        </w:trPr>
        <w:tc>
          <w:tcPr>
            <w:tcW w:w="6237" w:type="dxa"/>
          </w:tcPr>
          <w:p w14:paraId="331DBB65" w14:textId="77777777" w:rsidR="001110B4" w:rsidRPr="001110B4" w:rsidRDefault="001110B4" w:rsidP="00953BDB">
            <w:pPr>
              <w:pStyle w:val="Pa16"/>
              <w:spacing w:after="60" w:line="264" w:lineRule="auto"/>
              <w:rPr>
                <w:rFonts w:cs="Cambria"/>
                <w:color w:val="000000"/>
                <w:sz w:val="20"/>
                <w:szCs w:val="20"/>
              </w:rPr>
            </w:pPr>
            <w:r w:rsidRPr="001110B4">
              <w:rPr>
                <w:b/>
                <w:bCs/>
                <w:color w:val="000000"/>
                <w:sz w:val="20"/>
                <w:szCs w:val="20"/>
              </w:rPr>
              <w:t xml:space="preserve">Annexe B – Travail de </w:t>
            </w:r>
            <w:proofErr w:type="gramStart"/>
            <w:r w:rsidRPr="001110B4">
              <w:rPr>
                <w:b/>
                <w:bCs/>
                <w:color w:val="000000"/>
                <w:sz w:val="20"/>
                <w:szCs w:val="20"/>
              </w:rPr>
              <w:t>terrain :</w:t>
            </w:r>
            <w:proofErr w:type="gramEnd"/>
            <w:r w:rsidRPr="001110B4">
              <w:rPr>
                <w:color w:val="000000"/>
                <w:sz w:val="20"/>
                <w:szCs w:val="20"/>
              </w:rPr>
              <w:t xml:space="preserve"> services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quantitatifs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ou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qualitatifs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offerts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au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moyen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travailleurs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ou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modérateurs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sur le terrain.</w:t>
            </w:r>
          </w:p>
        </w:tc>
        <w:tc>
          <w:tcPr>
            <w:tcW w:w="993" w:type="dxa"/>
          </w:tcPr>
          <w:p w14:paraId="16AAEDA2" w14:textId="77777777" w:rsidR="001110B4" w:rsidRPr="001110B4" w:rsidRDefault="001110B4" w:rsidP="00953BDB">
            <w:pPr>
              <w:pStyle w:val="Pa16"/>
              <w:spacing w:after="60" w:line="240" w:lineRule="auto"/>
              <w:rPr>
                <w:rFonts w:cs="Cambri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6B0E75" w14:textId="77777777" w:rsidR="001110B4" w:rsidRPr="001110B4" w:rsidRDefault="001110B4" w:rsidP="00953BDB">
            <w:pPr>
              <w:pStyle w:val="Pa16"/>
              <w:spacing w:after="60" w:line="240" w:lineRule="auto"/>
              <w:rPr>
                <w:rFonts w:cs="Cambria"/>
                <w:color w:val="000000"/>
                <w:sz w:val="20"/>
                <w:szCs w:val="20"/>
              </w:rPr>
            </w:pPr>
          </w:p>
        </w:tc>
      </w:tr>
      <w:tr w:rsidR="001110B4" w14:paraId="75CF8CD9" w14:textId="77777777" w:rsidTr="001110B4">
        <w:trPr>
          <w:trHeight w:val="393"/>
        </w:trPr>
        <w:tc>
          <w:tcPr>
            <w:tcW w:w="6237" w:type="dxa"/>
          </w:tcPr>
          <w:p w14:paraId="2CF6DAEF" w14:textId="77777777" w:rsidR="001110B4" w:rsidRPr="001110B4" w:rsidRDefault="001110B4" w:rsidP="00953BDB">
            <w:pPr>
              <w:pStyle w:val="Pa16"/>
              <w:spacing w:after="60" w:line="264" w:lineRule="auto"/>
              <w:rPr>
                <w:rFonts w:cs="Cambria"/>
                <w:color w:val="000000"/>
                <w:sz w:val="20"/>
                <w:szCs w:val="20"/>
              </w:rPr>
            </w:pPr>
            <w:r w:rsidRPr="001110B4">
              <w:rPr>
                <w:b/>
                <w:bCs/>
                <w:color w:val="000000"/>
                <w:sz w:val="20"/>
                <w:szCs w:val="20"/>
              </w:rPr>
              <w:t xml:space="preserve">Annexe C – Observation </w:t>
            </w:r>
            <w:proofErr w:type="gramStart"/>
            <w:r w:rsidRPr="001110B4">
              <w:rPr>
                <w:b/>
                <w:bCs/>
                <w:color w:val="000000"/>
                <w:sz w:val="20"/>
                <w:szCs w:val="20"/>
              </w:rPr>
              <w:t>physique :</w:t>
            </w:r>
            <w:proofErr w:type="gram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collecte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données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effectuée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par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l’observation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, que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ce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soit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en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personne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ou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par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vidéo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, pour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étudier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notamment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le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comportement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, les habitudes, les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activités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, les relations, les opinions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exprimées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ou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le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rendement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personnes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ou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groupes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; la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collecte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s’effectue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sans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l’utilisation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questions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directes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et dans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l’environnement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physique (à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l’exception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l’observation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en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ligne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993" w:type="dxa"/>
          </w:tcPr>
          <w:p w14:paraId="1539DF10" w14:textId="77777777" w:rsidR="001110B4" w:rsidRPr="001110B4" w:rsidRDefault="001110B4" w:rsidP="00953BDB">
            <w:pPr>
              <w:pStyle w:val="Pa16"/>
              <w:spacing w:after="60" w:line="240" w:lineRule="auto"/>
              <w:rPr>
                <w:rFonts w:cs="Cambri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82F334A" w14:textId="77777777" w:rsidR="001110B4" w:rsidRPr="001110B4" w:rsidRDefault="001110B4" w:rsidP="00953BDB">
            <w:pPr>
              <w:pStyle w:val="Pa16"/>
              <w:spacing w:after="60" w:line="240" w:lineRule="auto"/>
              <w:rPr>
                <w:rFonts w:cs="Cambria"/>
                <w:color w:val="000000"/>
                <w:sz w:val="20"/>
                <w:szCs w:val="20"/>
              </w:rPr>
            </w:pPr>
          </w:p>
        </w:tc>
      </w:tr>
      <w:tr w:rsidR="001110B4" w14:paraId="40ADB9CA" w14:textId="77777777" w:rsidTr="001110B4">
        <w:trPr>
          <w:trHeight w:val="393"/>
        </w:trPr>
        <w:tc>
          <w:tcPr>
            <w:tcW w:w="6237" w:type="dxa"/>
          </w:tcPr>
          <w:p w14:paraId="365B6169" w14:textId="77777777" w:rsidR="001110B4" w:rsidRPr="001110B4" w:rsidRDefault="001110B4" w:rsidP="00953BDB">
            <w:pPr>
              <w:pStyle w:val="Pa16"/>
              <w:spacing w:after="60" w:line="264" w:lineRule="auto"/>
              <w:rPr>
                <w:rFonts w:cs="Cambria"/>
                <w:color w:val="000000"/>
                <w:sz w:val="20"/>
                <w:szCs w:val="20"/>
              </w:rPr>
            </w:pPr>
            <w:r w:rsidRPr="001110B4">
              <w:rPr>
                <w:b/>
                <w:bCs/>
                <w:color w:val="000000"/>
                <w:sz w:val="20"/>
                <w:szCs w:val="20"/>
              </w:rPr>
              <w:t xml:space="preserve">Annexe D-Observation </w:t>
            </w:r>
            <w:proofErr w:type="gramStart"/>
            <w:r w:rsidRPr="001110B4">
              <w:rPr>
                <w:b/>
                <w:bCs/>
                <w:color w:val="000000"/>
                <w:sz w:val="20"/>
                <w:szCs w:val="20"/>
              </w:rPr>
              <w:t>numérique :</w:t>
            </w:r>
            <w:proofErr w:type="gramEnd"/>
            <w:r w:rsidRPr="001110B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collecte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données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au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moyen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méthodes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passives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en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ligne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comme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l’utilisation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d’outils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d’analytique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Web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ou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surveillance des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appareils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AB4C74B" w14:textId="77777777" w:rsidR="001110B4" w:rsidRPr="001110B4" w:rsidRDefault="001110B4" w:rsidP="00953BDB">
            <w:pPr>
              <w:pStyle w:val="Pa16"/>
              <w:spacing w:after="60" w:line="240" w:lineRule="auto"/>
              <w:rPr>
                <w:rFonts w:cs="Cambri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4E7365" w14:textId="77777777" w:rsidR="001110B4" w:rsidRPr="001110B4" w:rsidRDefault="001110B4" w:rsidP="00953BDB">
            <w:pPr>
              <w:pStyle w:val="Pa16"/>
              <w:spacing w:after="60" w:line="240" w:lineRule="auto"/>
              <w:rPr>
                <w:rFonts w:cs="Cambria"/>
                <w:color w:val="000000"/>
                <w:sz w:val="20"/>
                <w:szCs w:val="20"/>
              </w:rPr>
            </w:pPr>
          </w:p>
        </w:tc>
      </w:tr>
      <w:tr w:rsidR="001110B4" w14:paraId="6F2F4AE8" w14:textId="77777777" w:rsidTr="001110B4">
        <w:trPr>
          <w:trHeight w:val="393"/>
        </w:trPr>
        <w:tc>
          <w:tcPr>
            <w:tcW w:w="6237" w:type="dxa"/>
          </w:tcPr>
          <w:p w14:paraId="63BD5AE3" w14:textId="77777777" w:rsidR="001110B4" w:rsidRPr="001110B4" w:rsidRDefault="001110B4" w:rsidP="00953BDB">
            <w:pPr>
              <w:pStyle w:val="Pa16"/>
              <w:spacing w:after="60" w:line="264" w:lineRule="auto"/>
              <w:rPr>
                <w:rFonts w:cs="Cambria"/>
                <w:b/>
                <w:bCs/>
                <w:color w:val="000000"/>
                <w:sz w:val="20"/>
                <w:szCs w:val="20"/>
              </w:rPr>
            </w:pPr>
            <w:r w:rsidRPr="001110B4">
              <w:rPr>
                <w:b/>
                <w:bCs/>
                <w:color w:val="000000"/>
                <w:sz w:val="20"/>
                <w:szCs w:val="20"/>
              </w:rPr>
              <w:t>Annexe E-Questionnaire auto-</w:t>
            </w:r>
            <w:proofErr w:type="spellStart"/>
            <w:proofErr w:type="gramStart"/>
            <w:r w:rsidRPr="001110B4">
              <w:rPr>
                <w:b/>
                <w:bCs/>
                <w:color w:val="000000"/>
                <w:sz w:val="20"/>
                <w:szCs w:val="20"/>
              </w:rPr>
              <w:t>administré</w:t>
            </w:r>
            <w:proofErr w:type="spellEnd"/>
            <w:r w:rsidRPr="001110B4">
              <w:rPr>
                <w:b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1110B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collecte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données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au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moyen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méthodes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auto-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administrées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, avec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ou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sans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l’utilisation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de panels (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en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ligne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ou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 xml:space="preserve"> hors </w:t>
            </w:r>
            <w:proofErr w:type="spellStart"/>
            <w:r w:rsidRPr="001110B4">
              <w:rPr>
                <w:color w:val="000000"/>
                <w:sz w:val="20"/>
                <w:szCs w:val="20"/>
              </w:rPr>
              <w:t>ligne</w:t>
            </w:r>
            <w:proofErr w:type="spellEnd"/>
            <w:r w:rsidRPr="001110B4"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993" w:type="dxa"/>
          </w:tcPr>
          <w:p w14:paraId="7254B4DE" w14:textId="77777777" w:rsidR="001110B4" w:rsidRPr="001110B4" w:rsidRDefault="001110B4" w:rsidP="00953BDB">
            <w:pPr>
              <w:pStyle w:val="Pa16"/>
              <w:spacing w:after="60" w:line="240" w:lineRule="auto"/>
              <w:rPr>
                <w:rFonts w:cs="Cambri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AB92E6" w14:textId="77777777" w:rsidR="001110B4" w:rsidRPr="001110B4" w:rsidRDefault="001110B4" w:rsidP="00953BDB">
            <w:pPr>
              <w:pStyle w:val="Pa16"/>
              <w:spacing w:after="60" w:line="240" w:lineRule="auto"/>
              <w:rPr>
                <w:rFonts w:cs="Cambria"/>
                <w:color w:val="000000"/>
                <w:sz w:val="20"/>
                <w:szCs w:val="20"/>
              </w:rPr>
            </w:pPr>
          </w:p>
        </w:tc>
      </w:tr>
      <w:tr w:rsidR="001110B4" w14:paraId="35374DE8" w14:textId="77777777" w:rsidTr="001110B4">
        <w:trPr>
          <w:trHeight w:val="393"/>
        </w:trPr>
        <w:tc>
          <w:tcPr>
            <w:tcW w:w="6237" w:type="dxa"/>
          </w:tcPr>
          <w:p w14:paraId="04599FD2" w14:textId="77777777" w:rsidR="001110B4" w:rsidRPr="001110B4" w:rsidRDefault="001110B4" w:rsidP="00953BDB">
            <w:pPr>
              <w:pStyle w:val="Pa16"/>
              <w:spacing w:after="60" w:line="264" w:lineRule="auto"/>
              <w:rPr>
                <w:rFonts w:cs="Cambria"/>
                <w:b/>
                <w:bCs/>
                <w:color w:val="000000"/>
                <w:sz w:val="20"/>
                <w:szCs w:val="20"/>
              </w:rPr>
            </w:pPr>
            <w:r w:rsidRPr="001110B4">
              <w:rPr>
                <w:b/>
                <w:bCs/>
                <w:color w:val="000000"/>
                <w:sz w:val="20"/>
                <w:szCs w:val="20"/>
              </w:rPr>
              <w:t xml:space="preserve">Annexe F-Gestion et </w:t>
            </w:r>
            <w:proofErr w:type="spellStart"/>
            <w:r w:rsidRPr="001110B4">
              <w:rPr>
                <w:b/>
                <w:bCs/>
                <w:color w:val="000000"/>
                <w:sz w:val="20"/>
                <w:szCs w:val="20"/>
              </w:rPr>
              <w:t>traitement</w:t>
            </w:r>
            <w:proofErr w:type="spellEnd"/>
            <w:r w:rsidRPr="001110B4">
              <w:rPr>
                <w:b/>
                <w:bCs/>
                <w:color w:val="000000"/>
                <w:sz w:val="20"/>
                <w:szCs w:val="20"/>
              </w:rPr>
              <w:t xml:space="preserve"> des </w:t>
            </w:r>
            <w:proofErr w:type="spellStart"/>
            <w:proofErr w:type="gramStart"/>
            <w:r w:rsidRPr="001110B4">
              <w:rPr>
                <w:b/>
                <w:bCs/>
                <w:color w:val="000000"/>
                <w:sz w:val="20"/>
                <w:szCs w:val="20"/>
              </w:rPr>
              <w:t>données</w:t>
            </w:r>
            <w:proofErr w:type="spellEnd"/>
            <w:r w:rsidRPr="001110B4">
              <w:rPr>
                <w:b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1110B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10B4">
              <w:rPr>
                <w:color w:val="211D1E"/>
                <w:sz w:val="20"/>
                <w:szCs w:val="20"/>
              </w:rPr>
              <w:t xml:space="preserve">services de gestion et de </w:t>
            </w:r>
            <w:proofErr w:type="spellStart"/>
            <w:r w:rsidRPr="001110B4">
              <w:rPr>
                <w:color w:val="211D1E"/>
                <w:sz w:val="20"/>
                <w:szCs w:val="20"/>
              </w:rPr>
              <w:t>traitement</w:t>
            </w:r>
            <w:proofErr w:type="spellEnd"/>
            <w:r w:rsidRPr="001110B4">
              <w:rPr>
                <w:color w:val="211D1E"/>
                <w:sz w:val="20"/>
                <w:szCs w:val="20"/>
              </w:rPr>
              <w:t xml:space="preserve"> des </w:t>
            </w:r>
            <w:proofErr w:type="spellStart"/>
            <w:r w:rsidRPr="001110B4">
              <w:rPr>
                <w:color w:val="211D1E"/>
                <w:sz w:val="20"/>
                <w:szCs w:val="20"/>
              </w:rPr>
              <w:t>données</w:t>
            </w:r>
            <w:proofErr w:type="spellEnd"/>
            <w:r w:rsidRPr="001110B4">
              <w:rPr>
                <w:color w:val="211D1E"/>
                <w:sz w:val="20"/>
                <w:szCs w:val="20"/>
              </w:rPr>
              <w:t xml:space="preserve">, </w:t>
            </w:r>
            <w:proofErr w:type="spellStart"/>
            <w:r w:rsidRPr="001110B4">
              <w:rPr>
                <w:color w:val="211D1E"/>
                <w:sz w:val="20"/>
                <w:szCs w:val="20"/>
              </w:rPr>
              <w:t>comme</w:t>
            </w:r>
            <w:proofErr w:type="spellEnd"/>
            <w:r w:rsidRPr="001110B4">
              <w:rPr>
                <w:color w:val="211D1E"/>
                <w:sz w:val="20"/>
                <w:szCs w:val="20"/>
              </w:rPr>
              <w:t xml:space="preserve"> </w:t>
            </w:r>
            <w:proofErr w:type="spellStart"/>
            <w:r w:rsidRPr="001110B4">
              <w:rPr>
                <w:color w:val="211D1E"/>
                <w:sz w:val="20"/>
                <w:szCs w:val="20"/>
              </w:rPr>
              <w:t>l’épuration</w:t>
            </w:r>
            <w:proofErr w:type="spellEnd"/>
            <w:r w:rsidRPr="001110B4">
              <w:rPr>
                <w:color w:val="211D1E"/>
                <w:sz w:val="20"/>
                <w:szCs w:val="20"/>
              </w:rPr>
              <w:t xml:space="preserve"> des </w:t>
            </w:r>
            <w:proofErr w:type="spellStart"/>
            <w:r w:rsidRPr="001110B4">
              <w:rPr>
                <w:color w:val="211D1E"/>
                <w:sz w:val="20"/>
                <w:szCs w:val="20"/>
              </w:rPr>
              <w:t>données</w:t>
            </w:r>
            <w:proofErr w:type="spellEnd"/>
            <w:r w:rsidRPr="001110B4">
              <w:rPr>
                <w:color w:val="211D1E"/>
                <w:sz w:val="20"/>
                <w:szCs w:val="20"/>
              </w:rPr>
              <w:t xml:space="preserve">, le </w:t>
            </w:r>
            <w:proofErr w:type="spellStart"/>
            <w:r w:rsidRPr="001110B4">
              <w:rPr>
                <w:color w:val="211D1E"/>
                <w:sz w:val="20"/>
                <w:szCs w:val="20"/>
              </w:rPr>
              <w:t>codage</w:t>
            </w:r>
            <w:proofErr w:type="spellEnd"/>
            <w:r w:rsidRPr="001110B4">
              <w:rPr>
                <w:color w:val="211D1E"/>
                <w:sz w:val="20"/>
                <w:szCs w:val="20"/>
              </w:rPr>
              <w:t xml:space="preserve">, la production de tableaux de </w:t>
            </w:r>
            <w:proofErr w:type="spellStart"/>
            <w:r w:rsidRPr="001110B4">
              <w:rPr>
                <w:color w:val="211D1E"/>
                <w:sz w:val="20"/>
                <w:szCs w:val="20"/>
              </w:rPr>
              <w:t>données</w:t>
            </w:r>
            <w:proofErr w:type="spellEnd"/>
            <w:r w:rsidRPr="001110B4">
              <w:rPr>
                <w:color w:val="211D1E"/>
                <w:sz w:val="20"/>
                <w:szCs w:val="20"/>
              </w:rPr>
              <w:t xml:space="preserve"> et </w:t>
            </w:r>
            <w:proofErr w:type="spellStart"/>
            <w:r w:rsidRPr="001110B4">
              <w:rPr>
                <w:color w:val="211D1E"/>
                <w:sz w:val="20"/>
                <w:szCs w:val="20"/>
              </w:rPr>
              <w:t>l’analyse</w:t>
            </w:r>
            <w:proofErr w:type="spellEnd"/>
            <w:r w:rsidRPr="001110B4">
              <w:rPr>
                <w:color w:val="211D1E"/>
                <w:sz w:val="20"/>
                <w:szCs w:val="20"/>
              </w:rPr>
              <w:t xml:space="preserve"> des </w:t>
            </w:r>
            <w:proofErr w:type="spellStart"/>
            <w:r w:rsidRPr="001110B4">
              <w:rPr>
                <w:color w:val="211D1E"/>
                <w:sz w:val="20"/>
                <w:szCs w:val="20"/>
              </w:rPr>
              <w:t>données</w:t>
            </w:r>
            <w:proofErr w:type="spellEnd"/>
            <w:r w:rsidRPr="001110B4">
              <w:rPr>
                <w:color w:val="211D1E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7D54E060" w14:textId="77777777" w:rsidR="001110B4" w:rsidRPr="001110B4" w:rsidRDefault="001110B4" w:rsidP="00953BDB">
            <w:pPr>
              <w:pStyle w:val="Pa16"/>
              <w:spacing w:after="60" w:line="240" w:lineRule="auto"/>
              <w:rPr>
                <w:rFonts w:cs="Cambri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C30BFB5" w14:textId="77777777" w:rsidR="001110B4" w:rsidRPr="001110B4" w:rsidRDefault="001110B4" w:rsidP="00953BDB">
            <w:pPr>
              <w:pStyle w:val="Pa16"/>
              <w:spacing w:after="60" w:line="240" w:lineRule="auto"/>
              <w:rPr>
                <w:rFonts w:cs="Cambria"/>
                <w:color w:val="000000"/>
                <w:sz w:val="20"/>
                <w:szCs w:val="20"/>
              </w:rPr>
            </w:pPr>
          </w:p>
        </w:tc>
      </w:tr>
    </w:tbl>
    <w:p w14:paraId="25B49E3E" w14:textId="77777777" w:rsidR="001110B4" w:rsidRDefault="001110B4" w:rsidP="001110B4">
      <w:pPr>
        <w:spacing w:after="0"/>
      </w:pPr>
    </w:p>
    <w:p w14:paraId="1D2765A6" w14:textId="77777777" w:rsidR="001110B4" w:rsidRDefault="001110B4" w:rsidP="001110B4">
      <w:pPr>
        <w:rPr>
          <w:color w:val="000000"/>
        </w:rPr>
      </w:pPr>
      <w:r>
        <w:t xml:space="preserve">Je </w:t>
      </w:r>
      <w:proofErr w:type="spellStart"/>
      <w:r>
        <w:t>déclare</w:t>
      </w:r>
      <w:proofErr w:type="spellEnd"/>
      <w:r>
        <w:t xml:space="preserve">, à la lumière de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connaissances</w:t>
      </w:r>
      <w:proofErr w:type="spellEnd"/>
      <w:r>
        <w:t xml:space="preserve"> et après </w:t>
      </w:r>
      <w:proofErr w:type="spellStart"/>
      <w:r>
        <w:t>avoir</w:t>
      </w:r>
      <w:proofErr w:type="spellEnd"/>
      <w:r>
        <w:t xml:space="preserve"> fait </w:t>
      </w:r>
      <w:proofErr w:type="spellStart"/>
      <w:r>
        <w:t>preuve</w:t>
      </w:r>
      <w:proofErr w:type="spellEnd"/>
      <w:r>
        <w:t xml:space="preserve"> de diligence </w:t>
      </w:r>
      <w:proofErr w:type="spellStart"/>
      <w:r>
        <w:t>raisonnable</w:t>
      </w:r>
      <w:proofErr w:type="spellEnd"/>
      <w:r>
        <w:t xml:space="preserve">, que (INDIQUER LE NOM JURIDIQUE DE L’ENTREPRISE) a </w:t>
      </w:r>
      <w:r>
        <w:rPr>
          <w:color w:val="000000"/>
        </w:rPr>
        <w:t xml:space="preserve">passé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revue les exigences </w:t>
      </w:r>
      <w:proofErr w:type="spellStart"/>
      <w:r>
        <w:rPr>
          <w:color w:val="000000"/>
        </w:rPr>
        <w:t>contenues</w:t>
      </w:r>
      <w:proofErr w:type="spellEnd"/>
      <w:r>
        <w:rPr>
          <w:color w:val="000000"/>
        </w:rPr>
        <w:t xml:space="preserve"> dans la </w:t>
      </w:r>
      <w:hyperlink r:id="rId5" w:history="1">
        <w:proofErr w:type="spellStart"/>
        <w:r>
          <w:rPr>
            <w:rStyle w:val="Hyperlink"/>
          </w:rPr>
          <w:t>norme</w:t>
        </w:r>
        <w:proofErr w:type="spellEnd"/>
        <w:r>
          <w:rPr>
            <w:rStyle w:val="Hyperlink"/>
          </w:rPr>
          <w:t xml:space="preserve"> ISO 20252:2019</w:t>
        </w:r>
      </w:hyperlink>
      <w:r>
        <w:rPr>
          <w:color w:val="000000"/>
        </w:rPr>
        <w:t xml:space="preserve">. Je </w:t>
      </w:r>
      <w:proofErr w:type="spellStart"/>
      <w:r>
        <w:rPr>
          <w:color w:val="000000"/>
        </w:rPr>
        <w:t>déclare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l’entreprise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répond</w:t>
      </w:r>
      <w:proofErr w:type="spellEnd"/>
      <w:r>
        <w:rPr>
          <w:color w:val="000000"/>
        </w:rPr>
        <w:t xml:space="preserve"> aux </w:t>
      </w:r>
      <w:proofErr w:type="spellStart"/>
      <w:r>
        <w:rPr>
          <w:color w:val="000000"/>
        </w:rPr>
        <w:t>principales</w:t>
      </w:r>
      <w:proofErr w:type="spellEnd"/>
      <w:r>
        <w:rPr>
          <w:color w:val="000000"/>
        </w:rPr>
        <w:t xml:space="preserve"> exigences </w:t>
      </w:r>
      <w:proofErr w:type="spellStart"/>
      <w:r>
        <w:rPr>
          <w:color w:val="000000"/>
        </w:rPr>
        <w:t>énumérées</w:t>
      </w:r>
      <w:proofErr w:type="spellEnd"/>
      <w:r>
        <w:rPr>
          <w:color w:val="000000"/>
        </w:rPr>
        <w:t xml:space="preserve"> dans la section 4 et les annexes pour les services </w:t>
      </w:r>
      <w:proofErr w:type="spellStart"/>
      <w:r>
        <w:rPr>
          <w:color w:val="000000"/>
        </w:rPr>
        <w:t>qu’elle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l’intermédiaire</w:t>
      </w:r>
      <w:proofErr w:type="spellEnd"/>
      <w:r>
        <w:rPr>
          <w:color w:val="000000"/>
        </w:rPr>
        <w:t xml:space="preserve"> de sous-</w:t>
      </w:r>
      <w:proofErr w:type="spellStart"/>
      <w:r>
        <w:rPr>
          <w:color w:val="000000"/>
        </w:rPr>
        <w:t>traitants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indiqué</w:t>
      </w:r>
      <w:proofErr w:type="spellEnd"/>
      <w:r>
        <w:rPr>
          <w:color w:val="000000"/>
        </w:rPr>
        <w:t xml:space="preserve"> dans le tableau ci-dessus.</w:t>
      </w:r>
    </w:p>
    <w:p w14:paraId="0B7362D5" w14:textId="77777777" w:rsidR="001110B4" w:rsidRDefault="001110B4" w:rsidP="001110B4">
      <w:pPr>
        <w:rPr>
          <w:rFonts w:cs="Cambria"/>
          <w:color w:val="000000"/>
        </w:rPr>
      </w:pPr>
    </w:p>
    <w:p w14:paraId="64A32A77" w14:textId="77777777" w:rsidR="001110B4" w:rsidRPr="001110B4" w:rsidRDefault="001110B4" w:rsidP="001110B4">
      <w:pPr>
        <w:rPr>
          <w:rFonts w:asciiTheme="majorHAnsi" w:hAnsiTheme="majorHAnsi" w:cstheme="majorHAnsi"/>
        </w:rPr>
      </w:pPr>
      <w:r w:rsidRPr="001110B4">
        <w:rPr>
          <w:rFonts w:asciiTheme="majorHAnsi" w:hAnsiTheme="majorHAnsi" w:cstheme="majorHAnsi"/>
        </w:rPr>
        <w:t xml:space="preserve">Nom du </w:t>
      </w:r>
      <w:proofErr w:type="spellStart"/>
      <w:r w:rsidRPr="001110B4">
        <w:rPr>
          <w:rFonts w:asciiTheme="majorHAnsi" w:hAnsiTheme="majorHAnsi" w:cstheme="majorHAnsi"/>
        </w:rPr>
        <w:t>ou</w:t>
      </w:r>
      <w:proofErr w:type="spellEnd"/>
      <w:r w:rsidRPr="001110B4">
        <w:rPr>
          <w:rFonts w:asciiTheme="majorHAnsi" w:hAnsiTheme="majorHAnsi" w:cstheme="majorHAnsi"/>
        </w:rPr>
        <w:t xml:space="preserve"> de la </w:t>
      </w:r>
      <w:proofErr w:type="gramStart"/>
      <w:r w:rsidRPr="001110B4">
        <w:rPr>
          <w:rFonts w:asciiTheme="majorHAnsi" w:hAnsiTheme="majorHAnsi" w:cstheme="majorHAnsi"/>
        </w:rPr>
        <w:t>PDG :</w:t>
      </w:r>
      <w:proofErr w:type="gramEnd"/>
      <w:r w:rsidRPr="001110B4">
        <w:rPr>
          <w:rFonts w:asciiTheme="majorHAnsi" w:hAnsiTheme="majorHAnsi" w:cstheme="majorHAnsi"/>
        </w:rPr>
        <w:t xml:space="preserve"> _________________________________________________________</w:t>
      </w:r>
    </w:p>
    <w:p w14:paraId="62A1140F" w14:textId="77777777" w:rsidR="001110B4" w:rsidRPr="001110B4" w:rsidRDefault="001110B4" w:rsidP="001110B4">
      <w:pPr>
        <w:rPr>
          <w:rFonts w:asciiTheme="majorHAnsi" w:hAnsiTheme="majorHAnsi" w:cstheme="majorHAnsi"/>
        </w:rPr>
      </w:pPr>
    </w:p>
    <w:p w14:paraId="588B74D1" w14:textId="77777777" w:rsidR="001110B4" w:rsidRPr="001110B4" w:rsidRDefault="001110B4" w:rsidP="001110B4">
      <w:pPr>
        <w:rPr>
          <w:rFonts w:asciiTheme="majorHAnsi" w:hAnsiTheme="majorHAnsi" w:cstheme="majorHAnsi"/>
        </w:rPr>
      </w:pPr>
      <w:proofErr w:type="gramStart"/>
      <w:r w:rsidRPr="001110B4">
        <w:rPr>
          <w:rFonts w:asciiTheme="majorHAnsi" w:hAnsiTheme="majorHAnsi" w:cstheme="majorHAnsi"/>
        </w:rPr>
        <w:t>Signature :</w:t>
      </w:r>
      <w:proofErr w:type="gramEnd"/>
      <w:r w:rsidRPr="001110B4">
        <w:rPr>
          <w:rFonts w:asciiTheme="majorHAnsi" w:hAnsiTheme="majorHAnsi" w:cstheme="majorHAnsi"/>
        </w:rPr>
        <w:t xml:space="preserve"> ___________________________________________________________________</w:t>
      </w:r>
    </w:p>
    <w:p w14:paraId="790D48F1" w14:textId="77777777" w:rsidR="001110B4" w:rsidRPr="001110B4" w:rsidRDefault="001110B4" w:rsidP="001110B4">
      <w:pPr>
        <w:rPr>
          <w:rFonts w:asciiTheme="majorHAnsi" w:hAnsiTheme="majorHAnsi" w:cstheme="majorHAnsi"/>
        </w:rPr>
      </w:pPr>
    </w:p>
    <w:p w14:paraId="1F19A166" w14:textId="70027544" w:rsidR="00850D03" w:rsidRPr="001110B4" w:rsidRDefault="001110B4" w:rsidP="001110B4">
      <w:pPr>
        <w:pStyle w:val="Heading2"/>
        <w:rPr>
          <w:rFonts w:cstheme="majorHAnsi"/>
          <w:color w:val="auto"/>
          <w:sz w:val="22"/>
          <w:szCs w:val="22"/>
        </w:rPr>
      </w:pPr>
      <w:proofErr w:type="gramStart"/>
      <w:r w:rsidRPr="001110B4">
        <w:rPr>
          <w:rFonts w:cstheme="majorHAnsi"/>
          <w:color w:val="auto"/>
          <w:sz w:val="22"/>
          <w:szCs w:val="22"/>
        </w:rPr>
        <w:t>Date :</w:t>
      </w:r>
      <w:proofErr w:type="gramEnd"/>
      <w:r w:rsidRPr="001110B4">
        <w:rPr>
          <w:rFonts w:cstheme="majorHAnsi"/>
          <w:color w:val="auto"/>
          <w:sz w:val="22"/>
          <w:szCs w:val="22"/>
        </w:rPr>
        <w:t xml:space="preserve"> _____________________________________________________________</w:t>
      </w:r>
      <w:r>
        <w:rPr>
          <w:rFonts w:cstheme="majorHAnsi"/>
          <w:color w:val="auto"/>
          <w:sz w:val="22"/>
          <w:szCs w:val="22"/>
        </w:rPr>
        <w:t>__________</w:t>
      </w:r>
    </w:p>
    <w:sectPr w:rsidR="00850D03" w:rsidRPr="001110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03"/>
    <w:rsid w:val="001110B4"/>
    <w:rsid w:val="002F17B9"/>
    <w:rsid w:val="00394C8E"/>
    <w:rsid w:val="0062378B"/>
    <w:rsid w:val="0063239F"/>
    <w:rsid w:val="00850D03"/>
    <w:rsid w:val="00995B4D"/>
    <w:rsid w:val="00D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F90A"/>
  <w15:chartTrackingRefBased/>
  <w15:docId w15:val="{3477BAFB-CC8F-46F2-A70D-E99D6267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D03"/>
  </w:style>
  <w:style w:type="paragraph" w:styleId="Heading1">
    <w:name w:val="heading 1"/>
    <w:basedOn w:val="Normal"/>
    <w:next w:val="Normal"/>
    <w:link w:val="Heading1Char"/>
    <w:uiPriority w:val="9"/>
    <w:qFormat/>
    <w:rsid w:val="00850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50D0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F1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F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Normal"/>
    <w:next w:val="Normal"/>
    <w:uiPriority w:val="99"/>
    <w:rsid w:val="002F17B9"/>
    <w:pPr>
      <w:autoSpaceDE w:val="0"/>
      <w:autoSpaceDN w:val="0"/>
      <w:adjustRightInd w:val="0"/>
      <w:spacing w:after="0" w:line="221" w:lineRule="atLeast"/>
    </w:pPr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so.org/fr/standard/73671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1874</Characters>
  <Application>Microsoft Office Word</Application>
  <DocSecurity>0</DocSecurity>
  <Lines>64</Lines>
  <Paragraphs>34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Tabone</dc:creator>
  <cp:keywords/>
  <dc:description/>
  <cp:lastModifiedBy>John Tabone</cp:lastModifiedBy>
  <cp:revision>2</cp:revision>
  <dcterms:created xsi:type="dcterms:W3CDTF">2022-05-18T14:21:00Z</dcterms:created>
  <dcterms:modified xsi:type="dcterms:W3CDTF">2022-05-18T14:21:00Z</dcterms:modified>
</cp:coreProperties>
</file>